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FB1C1B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36CF7" w:rsidRDefault="00E36CF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36CF7" w:rsidRDefault="00E36CF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36CF7" w:rsidRDefault="00E36CF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36CF7" w:rsidRDefault="00E36CF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36CF7" w:rsidRDefault="00E36CF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36CF7" w:rsidRPr="00D06837" w:rsidRDefault="00E36CF7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FB1C1B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53.03.02 Музыкально-инструментальное искусство</w:t>
      </w:r>
    </w:p>
    <w:p w:rsidR="00B15B18" w:rsidRPr="00E33257" w:rsidRDefault="00B15B1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Default="00AE39E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Оркестровые </w:t>
      </w:r>
      <w:r w:rsidR="004E0E9C">
        <w:rPr>
          <w:rFonts w:ascii="Times New Roman" w:eastAsia="HiddenHorzOCR" w:hAnsi="Times New Roman" w:cs="Times New Roman"/>
          <w:sz w:val="28"/>
          <w:szCs w:val="28"/>
        </w:rPr>
        <w:t>духовые и ударные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инструменты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FB1C1B" w:rsidRDefault="004C1AA8" w:rsidP="00B15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B15B18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B15B18" w:rsidRPr="00B15B18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r w:rsidR="00B15B18">
        <w:rPr>
          <w:rFonts w:ascii="Times New Roman" w:eastAsia="HiddenHorzOCR" w:hAnsi="Times New Roman" w:cs="Times New Roman"/>
          <w:sz w:val="24"/>
          <w:szCs w:val="24"/>
        </w:rPr>
        <w:t xml:space="preserve">Артист ансамбля. Артист оркестра. Преподаватель. </w:t>
      </w:r>
    </w:p>
    <w:p w:rsidR="004C1AA8" w:rsidRPr="00B15B18" w:rsidRDefault="00B15B18" w:rsidP="00B15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Руководитель творческого коллектива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E33257" w:rsidRDefault="006A1538" w:rsidP="00417279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72541672"/>
        <w:docPartObj>
          <w:docPartGallery w:val="Table of Contents"/>
          <w:docPartUnique/>
        </w:docPartObj>
      </w:sdtPr>
      <w:sdtEndPr/>
      <w:sdtContent>
        <w:p w:rsidR="00417279" w:rsidRPr="00417279" w:rsidRDefault="00417279" w:rsidP="00417279">
          <w:pPr>
            <w:pStyle w:val="afd"/>
            <w:jc w:val="center"/>
            <w:rPr>
              <w:color w:val="auto"/>
            </w:rPr>
          </w:pPr>
          <w:r w:rsidRPr="00417279">
            <w:rPr>
              <w:color w:val="auto"/>
            </w:rPr>
            <w:t>Оглавление</w:t>
          </w:r>
        </w:p>
        <w:p w:rsidR="007A376A" w:rsidRDefault="004172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77335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_Toc530577335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3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36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_Toc530577336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3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37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_Toc530577337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3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38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_Toc530577338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3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39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_Toc530577339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3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0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_Toc530577340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4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1" w:history="1">
            <w:r w:rsidR="007A376A" w:rsidRPr="00B20F58">
              <w:rPr>
                <w:rStyle w:val="a3"/>
                <w:rFonts w:ascii="Times New Roman" w:hAnsi="Times New Roman" w:cs="Times New Roman"/>
                <w:noProof/>
              </w:rPr>
              <w:t>3.4. Задачи профессиональной деятельности выпускника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_Toc530577341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4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2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_Toc530577342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5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3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_Toc530577343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8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4" w:history="1">
            <w:r w:rsidR="007A376A" w:rsidRPr="00B20F58">
              <w:rPr>
                <w:rStyle w:val="a3"/>
                <w:rFonts w:ascii="Times New Roman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_Toc530577344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8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5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_Toc530577345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9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6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_Toc530577346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10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7A376A" w:rsidRDefault="00E36CF7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347" w:history="1">
            <w:r w:rsidR="007A376A" w:rsidRPr="00B20F58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7A376A">
              <w:rPr>
                <w:noProof/>
                <w:webHidden/>
              </w:rPr>
              <w:tab/>
            </w:r>
            <w:r w:rsidR="007A376A">
              <w:rPr>
                <w:noProof/>
                <w:webHidden/>
              </w:rPr>
              <w:fldChar w:fldCharType="begin"/>
            </w:r>
            <w:r w:rsidR="007A376A">
              <w:rPr>
                <w:noProof/>
                <w:webHidden/>
              </w:rPr>
              <w:instrText xml:space="preserve"> PAGEREF _Toc530577347 \h </w:instrText>
            </w:r>
            <w:r w:rsidR="007A376A">
              <w:rPr>
                <w:noProof/>
                <w:webHidden/>
              </w:rPr>
            </w:r>
            <w:r w:rsidR="007A376A">
              <w:rPr>
                <w:noProof/>
                <w:webHidden/>
              </w:rPr>
              <w:fldChar w:fldCharType="separate"/>
            </w:r>
            <w:r w:rsidR="00C53C55">
              <w:rPr>
                <w:noProof/>
                <w:webHidden/>
              </w:rPr>
              <w:t>10</w:t>
            </w:r>
            <w:r w:rsidR="007A376A">
              <w:rPr>
                <w:noProof/>
                <w:webHidden/>
              </w:rPr>
              <w:fldChar w:fldCharType="end"/>
            </w:r>
          </w:hyperlink>
        </w:p>
        <w:p w:rsidR="00417279" w:rsidRDefault="00417279">
          <w:r>
            <w:rPr>
              <w:b/>
              <w:bCs/>
            </w:rPr>
            <w:fldChar w:fldCharType="end"/>
          </w:r>
        </w:p>
      </w:sdtContent>
    </w:sdt>
    <w:p w:rsidR="00417279" w:rsidRDefault="00417279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17279" w:rsidRDefault="00417279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417279" w:rsidRDefault="004C1AA8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577335"/>
      <w:r w:rsidRPr="00417279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53.03.02 Музыкально-инструментальное искусство, профиль подготовки </w:t>
      </w:r>
      <w:r w:rsidR="00AE39EE">
        <w:rPr>
          <w:rFonts w:ascii="Times New Roman" w:eastAsia="HiddenHorzOCR" w:hAnsi="Times New Roman" w:cs="Times New Roman"/>
          <w:sz w:val="24"/>
          <w:szCs w:val="28"/>
        </w:rPr>
        <w:t xml:space="preserve">Оркестровые </w:t>
      </w:r>
      <w:r w:rsidR="004E0E9C">
        <w:rPr>
          <w:rFonts w:ascii="Times New Roman" w:eastAsia="HiddenHorzOCR" w:hAnsi="Times New Roman" w:cs="Times New Roman"/>
          <w:sz w:val="24"/>
          <w:szCs w:val="28"/>
        </w:rPr>
        <w:t>духовые и ударные</w:t>
      </w:r>
      <w:r w:rsidR="00AE39EE">
        <w:rPr>
          <w:rFonts w:ascii="Times New Roman" w:eastAsia="HiddenHorzOCR" w:hAnsi="Times New Roman" w:cs="Times New Roman"/>
          <w:sz w:val="24"/>
          <w:szCs w:val="28"/>
        </w:rPr>
        <w:t xml:space="preserve">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A1538" w:rsidRPr="00D06837">
        <w:rPr>
          <w:rFonts w:ascii="Times New Roman" w:hAnsi="Times New Roman" w:cs="Times New Roman"/>
          <w:sz w:val="24"/>
          <w:szCs w:val="28"/>
        </w:rPr>
        <w:t>направлению подготовки 53.03.02 Музыкально-инструментальное искусство от 1</w:t>
      </w:r>
      <w:r w:rsidR="00BD4BB6">
        <w:rPr>
          <w:rFonts w:ascii="Times New Roman" w:hAnsi="Times New Roman" w:cs="Times New Roman"/>
          <w:sz w:val="24"/>
          <w:szCs w:val="28"/>
        </w:rPr>
        <w:t>1.08.2016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BD4BB6">
        <w:rPr>
          <w:rFonts w:ascii="Times New Roman" w:hAnsi="Times New Roman" w:cs="Times New Roman"/>
          <w:sz w:val="24"/>
          <w:szCs w:val="28"/>
        </w:rPr>
        <w:t>1010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417279" w:rsidRDefault="004C1AA8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2" w:name="_Toc530577336"/>
      <w:r w:rsidRPr="00417279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417279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AE39EE">
        <w:rPr>
          <w:rFonts w:ascii="Times New Roman" w:eastAsia="HiddenHorzOCR" w:hAnsi="Times New Roman" w:cs="Times New Roman"/>
          <w:sz w:val="24"/>
          <w:szCs w:val="28"/>
        </w:rPr>
        <w:t xml:space="preserve">Оркестровые </w:t>
      </w:r>
      <w:r w:rsidR="00334FB9">
        <w:rPr>
          <w:rFonts w:ascii="Times New Roman" w:eastAsia="HiddenHorzOCR" w:hAnsi="Times New Roman" w:cs="Times New Roman"/>
          <w:sz w:val="24"/>
          <w:szCs w:val="28"/>
        </w:rPr>
        <w:t>духовые и ударные</w:t>
      </w:r>
      <w:r w:rsidR="00AE39EE">
        <w:rPr>
          <w:rFonts w:ascii="Times New Roman" w:eastAsia="HiddenHorzOCR" w:hAnsi="Times New Roman" w:cs="Times New Roman"/>
          <w:sz w:val="24"/>
          <w:szCs w:val="28"/>
        </w:rPr>
        <w:t xml:space="preserve"> инструменты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з.е.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з.е.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417279" w:rsidRDefault="004C1AA8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3" w:name="_Toc530577337"/>
      <w:r w:rsidRPr="00417279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17279" w:rsidRDefault="004C1AA8" w:rsidP="00417279">
      <w:pPr>
        <w:pStyle w:val="2"/>
        <w:spacing w:before="0" w:line="240" w:lineRule="auto"/>
        <w:jc w:val="center"/>
        <w:rPr>
          <w:rFonts w:ascii="Times New Roman" w:eastAsia="HiddenHorzOCR" w:hAnsi="Times New Roman" w:cs="Times New Roman"/>
        </w:rPr>
      </w:pPr>
      <w:bookmarkStart w:id="4" w:name="_Toc530577338"/>
      <w:r w:rsidRPr="00417279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417279" w:rsidRPr="00417279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(исполнительство на музыкальных инструментах в оркестре, ансамблях, выступление в качестве солистов и концертмейстеров);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 коллективом;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417279" w:rsidRDefault="004C1AA8" w:rsidP="00417279">
      <w:pPr>
        <w:pStyle w:val="2"/>
        <w:spacing w:before="0" w:line="240" w:lineRule="auto"/>
        <w:jc w:val="center"/>
        <w:rPr>
          <w:rFonts w:ascii="Times New Roman" w:eastAsia="HiddenHorzOCR" w:hAnsi="Times New Roman" w:cs="Times New Roman"/>
        </w:rPr>
      </w:pPr>
      <w:bookmarkStart w:id="5" w:name="_Toc530577339"/>
      <w:r w:rsidRPr="00417279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музыкальные произведения, музыкальные инструменты, слушательская и зрительская аудитории театров, концертных залов, потребители продукции звукозаписывающих фирм, обучающиеся, авторы произведений музыкального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lastRenderedPageBreak/>
        <w:t>искусства, творческие коллективы, исполнители, музыкальные театры, концертные организации, звукозаписывающие студии, средства массовой информации, центры и дома народного художественного творчества, 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17279" w:rsidRDefault="004C1AA8" w:rsidP="00417279">
      <w:pPr>
        <w:pStyle w:val="2"/>
        <w:spacing w:before="0" w:line="240" w:lineRule="auto"/>
        <w:jc w:val="center"/>
        <w:rPr>
          <w:rFonts w:ascii="Times New Roman" w:eastAsia="HiddenHorzOCR" w:hAnsi="Times New Roman" w:cs="Times New Roman"/>
        </w:rPr>
      </w:pPr>
      <w:bookmarkStart w:id="6" w:name="_Toc530577340"/>
      <w:r w:rsidRPr="00417279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046944" w:rsidRPr="00762A87" w:rsidRDefault="00046944" w:rsidP="00046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бакалавриата: музыкально-исполнительская и педагогическая – основные, художественное руководство творческим коллективом, музыкально-просветительская и научно-исследовательская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522CF" w:rsidRDefault="004C1AA8" w:rsidP="004172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  <w:bookmarkStart w:id="7" w:name="_Toc530577341"/>
      <w:r w:rsidRPr="00417279">
        <w:rPr>
          <w:rStyle w:val="20"/>
          <w:rFonts w:ascii="Times New Roman" w:hAnsi="Times New Roman" w:cs="Times New Roman"/>
          <w:color w:val="auto"/>
          <w:sz w:val="24"/>
        </w:rPr>
        <w:t>3.4. Задачи профессиональной деятельности выпускника</w:t>
      </w:r>
      <w:bookmarkEnd w:id="7"/>
      <w:r w:rsidRPr="00D522CF">
        <w:rPr>
          <w:rFonts w:ascii="Times New Roman" w:eastAsia="HiddenHorzOCR" w:hAnsi="Times New Roman" w:cs="Times New Roman"/>
          <w:b/>
          <w:sz w:val="24"/>
          <w:szCs w:val="28"/>
        </w:rPr>
        <w:t>.</w:t>
      </w:r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046944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46944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модусах-соло, с солистом, в составе ансамбля (оркестра), с оркестром;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исполнение оркестровых и ансамблевых партий;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овладение навыками репетиционной работы с партнерами по ансамблю и в творческих коллективах;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аранжировок и переложений.</w:t>
      </w:r>
    </w:p>
    <w:p w:rsidR="00D522CF" w:rsidRPr="00046944" w:rsidRDefault="00D522C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46944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D522CF" w:rsidRDefault="00D522CF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воспитательной и учебной (педагогической) работы в соответствии с требованиями образовательных стандартов;</w:t>
      </w:r>
    </w:p>
    <w:p w:rsidR="00D522CF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методик.</w:t>
      </w:r>
    </w:p>
    <w:p w:rsidR="00764848" w:rsidRPr="00046944" w:rsidRDefault="00764848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46944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своей деятельности общественности, а именно: выступление с концертами (соло, в составе ансамбля, оркестра, с оркестром, лекциях-концертах) в учебных заведениях, клубах, дворцах и домах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музыкального искусства и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>д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ы достижений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 xml:space="preserve"> музыкального искусства и культ</w:t>
      </w:r>
      <w:r w:rsidR="00046944">
        <w:rPr>
          <w:rFonts w:ascii="Times New Roman" w:eastAsia="HiddenHorzOCR" w:hAnsi="Times New Roman" w:cs="Times New Roman"/>
          <w:iCs/>
          <w:sz w:val="24"/>
          <w:szCs w:val="28"/>
        </w:rPr>
        <w:t>уры;</w:t>
      </w:r>
    </w:p>
    <w:p w:rsidR="00046944" w:rsidRDefault="00046944" w:rsidP="000469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Художественное руководство творческим коллективом:</w:t>
      </w:r>
    </w:p>
    <w:p w:rsidR="00046944" w:rsidRDefault="00046944" w:rsidP="0004694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художественное руководство творческим коллективом, самодеятельными/любительскими в области народного творчества;</w:t>
      </w:r>
    </w:p>
    <w:p w:rsidR="00046944" w:rsidRPr="00F93681" w:rsidRDefault="00046944" w:rsidP="0004694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учебными музыкально-исполнительскими коллективами в организациях, осуществляющих образовательную деятельность;</w:t>
      </w:r>
    </w:p>
    <w:p w:rsidR="00046944" w:rsidRPr="0056680D" w:rsidRDefault="00046944" w:rsidP="000469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Организационно-управленческая деятельность:</w:t>
      </w:r>
    </w:p>
    <w:p w:rsidR="00046944" w:rsidRDefault="00046944" w:rsidP="0004694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осуществление профессиональной деятельности в структурных подразделениях государственных (муниципальных) органах, осуществляющих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государственное управление в сфере культуры, в организациях сферы культуры и искусства (филармониях, концертных организациях), в творческих союзах и обществах;</w:t>
      </w:r>
    </w:p>
    <w:p w:rsidR="00046944" w:rsidRDefault="00046944" w:rsidP="0004694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работе по организации творческих проектов (концертов, фестивалей, конкурсов, мастер-классов, юбилейных мероприятий);</w:t>
      </w:r>
    </w:p>
    <w:p w:rsidR="00046944" w:rsidRDefault="00046944" w:rsidP="0004694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организационно-управленческой деятельности по сохранению и государственной поддержке искусства, культуры и образования.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417279" w:rsidRDefault="004C1AA8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8" w:name="_Toc530577342"/>
      <w:r w:rsidRPr="00417279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417279" w:rsidRDefault="009A779A" w:rsidP="00417279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417279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 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постигать музыкальное произведение в культурно-историческом контексте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готовностью к овладению музыкально-текстологической культурой, к углубленному </w:t>
      </w:r>
      <w:r w:rsidRPr="00F24607">
        <w:rPr>
          <w:sz w:val="24"/>
          <w:szCs w:val="24"/>
        </w:rPr>
        <w:lastRenderedPageBreak/>
        <w:t>прочтению и расшифровке авторского (редакторского) нотного текста (ПК-5);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(ПК-7);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слухо-мыслительных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(ПК-8);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исполнительского мастерства (ПК-10);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 (ПК-11);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применять те</w:t>
      </w:r>
      <w:r>
        <w:rPr>
          <w:sz w:val="24"/>
          <w:szCs w:val="24"/>
        </w:rPr>
        <w:t>оретические знания в музыкально-</w:t>
      </w:r>
      <w:r w:rsidRPr="009A779A">
        <w:rPr>
          <w:sz w:val="24"/>
          <w:szCs w:val="24"/>
        </w:rPr>
        <w:t>исполнительской деятельности (ПК-15);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партию своего инструмента в различных видах ансамбля (ПК-17);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устройства своего инструмента и основ обращения с ним (ПК-18);</w:t>
      </w:r>
    </w:p>
    <w:p w:rsidR="009A779A" w:rsidRPr="007A376A" w:rsidRDefault="009A779A" w:rsidP="007A376A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10" w:name="bookmark10"/>
      <w:r w:rsidRPr="007A376A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образовательную деятельность (ПК-19);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firstLine="700"/>
        <w:jc w:val="both"/>
        <w:rPr>
          <w:sz w:val="24"/>
        </w:rPr>
      </w:pPr>
      <w:r w:rsidRPr="009A779A">
        <w:rPr>
          <w:sz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 (ПК-20);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и овладению основным педагогическим репертуаром (ПК-21);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 (ПК-23);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анализировать и подвергать критическому разбору процесс </w:t>
      </w:r>
      <w:r w:rsidRPr="009A779A">
        <w:rPr>
          <w:sz w:val="24"/>
          <w:szCs w:val="24"/>
        </w:rPr>
        <w:lastRenderedPageBreak/>
        <w:t>исполнения музыкального произведения, проводить сравнительный анализ разных исполнительских интерпретаций на занятиях с обучающимися (ПК-25);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 (ПК-26);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ориентирования в выпускаемой профессиональной учебно</w:t>
      </w:r>
      <w:r w:rsidRPr="009A779A">
        <w:rPr>
          <w:sz w:val="24"/>
          <w:szCs w:val="24"/>
        </w:rPr>
        <w:softHyphen/>
        <w:t>методической литературе (ПК-27);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 (ПК-28);</w:t>
      </w:r>
    </w:p>
    <w:p w:rsidR="00046944" w:rsidRDefault="00046944" w:rsidP="00046944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>
        <w:rPr>
          <w:sz w:val="24"/>
        </w:rPr>
        <w:t>художественное руководство творческим коллективом:</w:t>
      </w:r>
    </w:p>
    <w:p w:rsidR="00046944" w:rsidRPr="007438B4" w:rsidRDefault="00046944" w:rsidP="00046944">
      <w:pPr>
        <w:pStyle w:val="101"/>
        <w:shd w:val="clear" w:color="auto" w:fill="auto"/>
        <w:spacing w:line="240" w:lineRule="auto"/>
        <w:ind w:left="20" w:firstLine="720"/>
        <w:jc w:val="both"/>
        <w:rPr>
          <w:b w:val="0"/>
          <w:sz w:val="24"/>
        </w:rPr>
      </w:pPr>
      <w:r>
        <w:rPr>
          <w:b w:val="0"/>
          <w:sz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(ПК-30);</w:t>
      </w:r>
    </w:p>
    <w:p w:rsidR="003625B5" w:rsidRPr="003625B5" w:rsidRDefault="003625B5" w:rsidP="00046944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 w:rsidRPr="003625B5">
        <w:rPr>
          <w:sz w:val="24"/>
        </w:rPr>
        <w:t>музыкально-просветительская деятельность:</w:t>
      </w:r>
    </w:p>
    <w:p w:rsidR="003625B5" w:rsidRDefault="003625B5" w:rsidP="000469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</w:t>
      </w:r>
      <w:r w:rsidR="00046944">
        <w:rPr>
          <w:rFonts w:ascii="Times New Roman" w:hAnsi="Times New Roman" w:cs="Times New Roman"/>
          <w:sz w:val="24"/>
        </w:rPr>
        <w:t>го искусства и культуры (ПК-31);</w:t>
      </w:r>
    </w:p>
    <w:p w:rsidR="00046944" w:rsidRDefault="00046944" w:rsidP="00046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046944" w:rsidRDefault="00046944" w:rsidP="0004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(ПК-32);</w:t>
      </w:r>
    </w:p>
    <w:p w:rsidR="00046944" w:rsidRPr="006900BB" w:rsidRDefault="00046944" w:rsidP="0004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 (ПК-33).</w:t>
      </w:r>
    </w:p>
    <w:p w:rsidR="00046944" w:rsidRPr="00120FD0" w:rsidRDefault="00046944" w:rsidP="000469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0469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0469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417279" w:rsidRDefault="00120FD0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1" w:name="_Toc530577343"/>
      <w:r w:rsidRPr="00417279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417279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«Дисциплины» программы бакалавриата в объеме не менее 72 академических часов (2 з.е.)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6E12C8" w:rsidP="00417279">
      <w:pPr>
        <w:autoSpaceDE w:val="0"/>
        <w:autoSpaceDN w:val="0"/>
        <w:adjustRightInd w:val="0"/>
        <w:spacing w:after="0" w:line="240" w:lineRule="auto"/>
        <w:ind w:firstLine="557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12" w:name="_Toc530577344"/>
      <w:r w:rsidRPr="00417279">
        <w:rPr>
          <w:rStyle w:val="10"/>
          <w:rFonts w:ascii="Times New Roman" w:hAnsi="Times New Roman" w:cs="Times New Roman"/>
          <w:color w:val="auto"/>
          <w:sz w:val="24"/>
        </w:rPr>
        <w:t>6</w:t>
      </w:r>
      <w:r w:rsidR="004C1AA8" w:rsidRPr="00417279">
        <w:rPr>
          <w:rStyle w:val="10"/>
          <w:rFonts w:ascii="Times New Roman" w:hAnsi="Times New Roman" w:cs="Times New Roman"/>
          <w:color w:val="auto"/>
          <w:sz w:val="24"/>
        </w:rPr>
        <w:t xml:space="preserve">. </w:t>
      </w:r>
      <w:r w:rsidRPr="00417279">
        <w:rPr>
          <w:rStyle w:val="10"/>
          <w:rFonts w:ascii="Times New Roman" w:hAnsi="Times New Roman" w:cs="Times New Roman"/>
          <w:color w:val="auto"/>
          <w:sz w:val="24"/>
        </w:rPr>
        <w:t>Документы, регламентирующие содержание и организацию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 направлению подготовки 53.03.02 Музыкально-инструментальное искусство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334FB9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334FB9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334FB9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17279" w:rsidRDefault="00417279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3" w:name="_Toc530577345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417279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искуств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звукотехническое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417279" w:rsidRDefault="00417279" w:rsidP="00417279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4" w:name="_Toc530577346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417279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417279" w:rsidRDefault="00417279" w:rsidP="00417279">
      <w:pPr>
        <w:pStyle w:val="1"/>
        <w:spacing w:before="0" w:after="240" w:line="240" w:lineRule="auto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577347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417279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417279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417279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sectPr w:rsidR="002D3EC7" w:rsidRPr="002D3EC7" w:rsidSect="0070373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984E8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11AA0C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27"/>
  </w:num>
  <w:num w:numId="7">
    <w:abstractNumId w:val="8"/>
  </w:num>
  <w:num w:numId="8">
    <w:abstractNumId w:val="30"/>
  </w:num>
  <w:num w:numId="9">
    <w:abstractNumId w:val="5"/>
  </w:num>
  <w:num w:numId="10">
    <w:abstractNumId w:val="28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29"/>
  </w:num>
  <w:num w:numId="23">
    <w:abstractNumId w:val="10"/>
  </w:num>
  <w:num w:numId="24">
    <w:abstractNumId w:val="14"/>
  </w:num>
  <w:num w:numId="25">
    <w:abstractNumId w:val="32"/>
  </w:num>
  <w:num w:numId="26">
    <w:abstractNumId w:val="23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46944"/>
    <w:rsid w:val="000B2E04"/>
    <w:rsid w:val="000D0432"/>
    <w:rsid w:val="000E43ED"/>
    <w:rsid w:val="00120FD0"/>
    <w:rsid w:val="00145A4F"/>
    <w:rsid w:val="00154F1A"/>
    <w:rsid w:val="00174282"/>
    <w:rsid w:val="00192A11"/>
    <w:rsid w:val="001971A7"/>
    <w:rsid w:val="001A371C"/>
    <w:rsid w:val="001D14A7"/>
    <w:rsid w:val="001F1417"/>
    <w:rsid w:val="00243B66"/>
    <w:rsid w:val="00275763"/>
    <w:rsid w:val="002B2E1F"/>
    <w:rsid w:val="002B3727"/>
    <w:rsid w:val="002C13D3"/>
    <w:rsid w:val="002D3EC7"/>
    <w:rsid w:val="00317C45"/>
    <w:rsid w:val="00334FB9"/>
    <w:rsid w:val="00351243"/>
    <w:rsid w:val="003625B5"/>
    <w:rsid w:val="0039127A"/>
    <w:rsid w:val="003A11E9"/>
    <w:rsid w:val="003A6BCA"/>
    <w:rsid w:val="003F3249"/>
    <w:rsid w:val="00402B3F"/>
    <w:rsid w:val="00417279"/>
    <w:rsid w:val="004218F1"/>
    <w:rsid w:val="0042419D"/>
    <w:rsid w:val="0044150F"/>
    <w:rsid w:val="004873CD"/>
    <w:rsid w:val="004C1AA8"/>
    <w:rsid w:val="004E0E9C"/>
    <w:rsid w:val="0051576A"/>
    <w:rsid w:val="00517355"/>
    <w:rsid w:val="005266A9"/>
    <w:rsid w:val="00537A6C"/>
    <w:rsid w:val="00552CE3"/>
    <w:rsid w:val="005B4C0A"/>
    <w:rsid w:val="005B4D71"/>
    <w:rsid w:val="005B7CC0"/>
    <w:rsid w:val="00602D9D"/>
    <w:rsid w:val="0060472E"/>
    <w:rsid w:val="00604FD1"/>
    <w:rsid w:val="0061268E"/>
    <w:rsid w:val="00646A2E"/>
    <w:rsid w:val="00676CC0"/>
    <w:rsid w:val="006A1538"/>
    <w:rsid w:val="006E12C8"/>
    <w:rsid w:val="007012F8"/>
    <w:rsid w:val="00703738"/>
    <w:rsid w:val="00722D87"/>
    <w:rsid w:val="00754A8C"/>
    <w:rsid w:val="00762A87"/>
    <w:rsid w:val="00764848"/>
    <w:rsid w:val="0078123B"/>
    <w:rsid w:val="00783F72"/>
    <w:rsid w:val="007A376A"/>
    <w:rsid w:val="007B5F02"/>
    <w:rsid w:val="007C6999"/>
    <w:rsid w:val="008018B9"/>
    <w:rsid w:val="008831E0"/>
    <w:rsid w:val="00892585"/>
    <w:rsid w:val="008B2B5C"/>
    <w:rsid w:val="008C28A5"/>
    <w:rsid w:val="008D2703"/>
    <w:rsid w:val="00910D18"/>
    <w:rsid w:val="0092515A"/>
    <w:rsid w:val="009374CE"/>
    <w:rsid w:val="00943CDA"/>
    <w:rsid w:val="00966B26"/>
    <w:rsid w:val="009A779A"/>
    <w:rsid w:val="009D0E75"/>
    <w:rsid w:val="00A11843"/>
    <w:rsid w:val="00A60AD4"/>
    <w:rsid w:val="00A63627"/>
    <w:rsid w:val="00AA7963"/>
    <w:rsid w:val="00AE1870"/>
    <w:rsid w:val="00AE39EE"/>
    <w:rsid w:val="00B15B18"/>
    <w:rsid w:val="00B34A4E"/>
    <w:rsid w:val="00B463A2"/>
    <w:rsid w:val="00B606C8"/>
    <w:rsid w:val="00B9495C"/>
    <w:rsid w:val="00BC4501"/>
    <w:rsid w:val="00BD4BB6"/>
    <w:rsid w:val="00C02EF5"/>
    <w:rsid w:val="00C3336D"/>
    <w:rsid w:val="00C53C55"/>
    <w:rsid w:val="00C910B8"/>
    <w:rsid w:val="00CB1C82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F1D08"/>
    <w:rsid w:val="00E33257"/>
    <w:rsid w:val="00E36CF7"/>
    <w:rsid w:val="00E4770E"/>
    <w:rsid w:val="00E715AA"/>
    <w:rsid w:val="00E90556"/>
    <w:rsid w:val="00EC4F43"/>
    <w:rsid w:val="00ED4901"/>
    <w:rsid w:val="00EE3A29"/>
    <w:rsid w:val="00F2242A"/>
    <w:rsid w:val="00F24607"/>
    <w:rsid w:val="00F57230"/>
    <w:rsid w:val="00F83812"/>
    <w:rsid w:val="00F921D2"/>
    <w:rsid w:val="00FA4BBE"/>
    <w:rsid w:val="00FA4C30"/>
    <w:rsid w:val="00FA78AD"/>
    <w:rsid w:val="00FB1C1B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5838"/>
  <w15:docId w15:val="{14D0458E-7A09-4F3A-8F85-07C987C9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417279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417279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41727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AB35-B7C9-4B25-9ADA-77963486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14</cp:revision>
  <cp:lastPrinted>2019-03-23T07:59:00Z</cp:lastPrinted>
  <dcterms:created xsi:type="dcterms:W3CDTF">2018-03-30T08:31:00Z</dcterms:created>
  <dcterms:modified xsi:type="dcterms:W3CDTF">2021-03-22T11:58:00Z</dcterms:modified>
</cp:coreProperties>
</file>